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6:00 p.m., Wednesday, September 14, 2005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singl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Consideration of approval of the Budgets for all Funds for the 2005-2006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General Fund Budget of expenditures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Depreciation Fund Budget of expenditures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Employee Benefit Fund Budget of expenditures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Activities Fund Budget of expenditures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School Lunch Fund Budget of expenditures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Bond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Special Building Fund Budget of expenditures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Cooperative Fund Budget of expenditures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Student Fee Fund Budget of expenditures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Budgets of expenditures for all funds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Budget of District Property Tax requirements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Budget of System Property Tax requirements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Levy Subject to Limitation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Levy Excluded from Levy Limit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   Total of All Levies for 2005-2006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Adjourn</w:t>
      </w:r>
    </w:p>
    <w:sectPr>
      <w:footerReference r:id="rId5" w:type="default"/>
      <w:pgSz w:h="15840" w:w="12240"/>
      <w:pgMar w:bottom="576" w:top="576" w:left="1584" w:right="15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05.09.12  agenda</w:t>
      <w:tab/>
      <w:t xml:space="preserve">6 September 2005</w:t>
      <w:tab/>
      <w:t xml:space="preserve">10:41:41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